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CC1C44" w14:textId="0834A150" w:rsidR="0064643E" w:rsidRDefault="00E75283">
      <w:pPr>
        <w:tabs>
          <w:tab w:val="center" w:pos="4819"/>
          <w:tab w:val="right" w:pos="9638"/>
        </w:tabs>
        <w:jc w:val="center"/>
        <w:rPr>
          <w:b/>
          <w:szCs w:val="24"/>
          <w:lang w:val="en-GB"/>
        </w:rPr>
      </w:pPr>
      <w:r>
        <w:rPr>
          <w:szCs w:val="24"/>
          <w:lang w:val="en-GB"/>
        </w:rPr>
        <w:object w:dxaOrig="811" w:dyaOrig="961" w14:anchorId="0ACC1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6" o:title=""/>
          </v:shape>
          <o:OLEObject Type="Embed" ProgID="Word.Picture.8" ShapeID="_x0000_i1025" DrawAspect="Content" ObjectID="_1608964877" r:id="rId7"/>
        </w:object>
      </w:r>
    </w:p>
    <w:p w14:paraId="0ACC1C46" w14:textId="77777777" w:rsidR="0064643E" w:rsidRDefault="00E75283">
      <w:pPr>
        <w:jc w:val="center"/>
        <w:rPr>
          <w:b/>
          <w:szCs w:val="24"/>
        </w:rPr>
      </w:pPr>
      <w:r>
        <w:rPr>
          <w:b/>
          <w:szCs w:val="24"/>
        </w:rPr>
        <w:t>LIETUVOS RESPUBLIKOS SVEIKATOS APSAUGOS MINISTRAS</w:t>
      </w:r>
    </w:p>
    <w:p w14:paraId="0ACC1C47" w14:textId="77777777" w:rsidR="0064643E" w:rsidRDefault="0064643E">
      <w:pPr>
        <w:jc w:val="center"/>
        <w:rPr>
          <w:b/>
          <w:szCs w:val="24"/>
        </w:rPr>
      </w:pPr>
    </w:p>
    <w:p w14:paraId="0ACC1C48" w14:textId="77777777" w:rsidR="0064643E" w:rsidRDefault="00E75283">
      <w:pPr>
        <w:jc w:val="center"/>
        <w:rPr>
          <w:b/>
          <w:szCs w:val="24"/>
        </w:rPr>
      </w:pPr>
      <w:r>
        <w:rPr>
          <w:b/>
          <w:szCs w:val="24"/>
        </w:rPr>
        <w:t>ĮSAKYMAS</w:t>
      </w:r>
    </w:p>
    <w:p w14:paraId="0ACC1C49" w14:textId="77777777" w:rsidR="0064643E" w:rsidRDefault="00E75283">
      <w:pPr>
        <w:jc w:val="center"/>
        <w:rPr>
          <w:b/>
          <w:bCs/>
          <w:szCs w:val="24"/>
        </w:rPr>
      </w:pPr>
      <w:r>
        <w:rPr>
          <w:b/>
          <w:bCs/>
          <w:szCs w:val="24"/>
        </w:rPr>
        <w:t>DĖL LIETUVOS RESPUBLIKOS SVEIKATOS APSAUGOS MINISTRO 2015 M. SPALIO 30 D. ĮSAKYMO NR. V-1208 „DĖL LIETUVOS HIGIENOS NORMOS HN 131:2015 „VAIKŲ ŽAIDIMŲ AIKŠTELĖS IR PATALPOS. BENDRIEJI SVEIKATOS SAUGOS REIKALAVIMAI“ PATVIRTINIMO“ PAKEITIMO</w:t>
      </w:r>
    </w:p>
    <w:p w14:paraId="0ACC1C4A" w14:textId="77777777" w:rsidR="0064643E" w:rsidRDefault="0064643E">
      <w:pPr>
        <w:jc w:val="center"/>
        <w:rPr>
          <w:szCs w:val="24"/>
        </w:rPr>
      </w:pPr>
    </w:p>
    <w:p w14:paraId="0ACC1C4B" w14:textId="77777777" w:rsidR="0064643E" w:rsidRDefault="00E75283">
      <w:pPr>
        <w:jc w:val="center"/>
        <w:rPr>
          <w:szCs w:val="24"/>
        </w:rPr>
      </w:pPr>
      <w:r>
        <w:rPr>
          <w:szCs w:val="24"/>
        </w:rPr>
        <w:t>2018 m. spalio 22 d. Nr. V-1155</w:t>
      </w:r>
    </w:p>
    <w:p w14:paraId="0ACC1C4C" w14:textId="77777777" w:rsidR="0064643E" w:rsidRDefault="00E75283">
      <w:pPr>
        <w:jc w:val="center"/>
        <w:rPr>
          <w:szCs w:val="24"/>
        </w:rPr>
      </w:pPr>
      <w:r>
        <w:rPr>
          <w:szCs w:val="24"/>
        </w:rPr>
        <w:t>Vilnius</w:t>
      </w:r>
    </w:p>
    <w:p w14:paraId="0ACC1C4D" w14:textId="77777777" w:rsidR="0064643E" w:rsidRDefault="0064643E">
      <w:pPr>
        <w:jc w:val="center"/>
        <w:rPr>
          <w:szCs w:val="24"/>
        </w:rPr>
      </w:pPr>
    </w:p>
    <w:p w14:paraId="661D3BEC" w14:textId="77777777" w:rsidR="00250638" w:rsidRDefault="00250638">
      <w:pPr>
        <w:jc w:val="center"/>
        <w:rPr>
          <w:szCs w:val="24"/>
        </w:rPr>
      </w:pPr>
    </w:p>
    <w:p w14:paraId="0ACC1C4E" w14:textId="77777777" w:rsidR="0064643E" w:rsidRDefault="00E75283">
      <w:pPr>
        <w:ind w:firstLine="720"/>
        <w:jc w:val="both"/>
        <w:rPr>
          <w:szCs w:val="24"/>
        </w:rPr>
      </w:pPr>
      <w:r>
        <w:rPr>
          <w:szCs w:val="24"/>
        </w:rPr>
        <w:t>P a k e i č i u Lietuvos higienos normą HN 131:2015 „Vaikų žaidimų aikštelės ir patalpos. Bendrieji sveikatos saugos reikalavimai“, patvirtintą Lietuvos Respublikos sveikatos apsaugos ministro 2015 m. spalio 30 d. įsakymu Nr. V-1208 „Dėl Lietuvos higienos normos HN 131:2015 „Vaikų žaidimų aikštelės ir patalpos. Bendrieji sveikatos saugos reikalavimai“ patvirtinimo“:</w:t>
      </w:r>
    </w:p>
    <w:p w14:paraId="0ACC1C4F" w14:textId="77777777" w:rsidR="0064643E" w:rsidRDefault="00E75283">
      <w:pPr>
        <w:ind w:firstLine="720"/>
        <w:jc w:val="both"/>
        <w:rPr>
          <w:szCs w:val="24"/>
        </w:rPr>
      </w:pPr>
      <w:r>
        <w:rPr>
          <w:szCs w:val="24"/>
        </w:rPr>
        <w:t>1. Pakeičiu 8.5 papunktį ir jį išdėstau taip:</w:t>
      </w:r>
    </w:p>
    <w:p w14:paraId="0ACC1C50" w14:textId="77777777" w:rsidR="0064643E" w:rsidRDefault="00E75283">
      <w:pPr>
        <w:ind w:firstLine="720"/>
        <w:jc w:val="both"/>
        <w:rPr>
          <w:color w:val="000000"/>
          <w:szCs w:val="24"/>
        </w:rPr>
      </w:pPr>
      <w:r>
        <w:rPr>
          <w:color w:val="000000"/>
          <w:szCs w:val="24"/>
        </w:rPr>
        <w:t>„</w:t>
      </w:r>
      <w:r>
        <w:rPr>
          <w:color w:val="000000"/>
          <w:spacing w:val="-8"/>
          <w:szCs w:val="24"/>
        </w:rPr>
        <w:t>8.5. Lietuvos Respublikos sveikatos apsaugos ministro 2003 m. liepos 23 d. įsakymas Nr. V-455</w:t>
      </w:r>
      <w:r>
        <w:rPr>
          <w:color w:val="000000"/>
          <w:szCs w:val="24"/>
        </w:rPr>
        <w:t xml:space="preserve"> „Dėl Lietuvos higienos normos HN 24:2017 „Geriamojo vandens saugos ir kokybės reikalavimai“ patvirtinimo“;“.</w:t>
      </w:r>
    </w:p>
    <w:p w14:paraId="0ACC1C51" w14:textId="77777777" w:rsidR="0064643E" w:rsidRDefault="00E75283">
      <w:pPr>
        <w:ind w:firstLine="720"/>
        <w:jc w:val="both"/>
        <w:rPr>
          <w:szCs w:val="24"/>
        </w:rPr>
      </w:pPr>
      <w:r>
        <w:rPr>
          <w:szCs w:val="24"/>
        </w:rPr>
        <w:t>2. Pakeičiu 8.7 papunktį ir jį išdėstau taip:</w:t>
      </w:r>
    </w:p>
    <w:p w14:paraId="0ACC1C52" w14:textId="77777777" w:rsidR="0064643E" w:rsidRDefault="00E75283">
      <w:pPr>
        <w:ind w:firstLine="720"/>
        <w:jc w:val="both"/>
        <w:rPr>
          <w:color w:val="000000"/>
          <w:szCs w:val="24"/>
        </w:rPr>
      </w:pPr>
      <w:r>
        <w:rPr>
          <w:color w:val="000000"/>
          <w:szCs w:val="24"/>
        </w:rPr>
        <w:t>„8.7. Lietuvos Respublikos sveikatos apsaugos ministro 2003 m. gruodžio 31 d. įsakymas Nr. V-791 „Dėl Lietuvos higienos normos HN 50:2016 „Visą žmogaus kūną veikianti vibracija: didžiausi leidžiami dydžiai ir matavimo reikalavimai gyvenamosiose, specialiosiose ir visuomeninėse patalpose“ patvirtinimo“;“.</w:t>
      </w:r>
    </w:p>
    <w:p w14:paraId="0ACC1C53" w14:textId="77777777" w:rsidR="0064643E" w:rsidRDefault="00E75283">
      <w:pPr>
        <w:ind w:firstLine="720"/>
        <w:jc w:val="both"/>
        <w:rPr>
          <w:szCs w:val="24"/>
        </w:rPr>
      </w:pPr>
      <w:r>
        <w:rPr>
          <w:szCs w:val="24"/>
        </w:rPr>
        <w:t>3. Pakeičiu 8.13 papunktį ir jį išdėstau taip:</w:t>
      </w:r>
    </w:p>
    <w:p w14:paraId="0ACC1C54" w14:textId="77777777" w:rsidR="0064643E" w:rsidRDefault="00E75283">
      <w:pPr>
        <w:ind w:firstLine="720"/>
        <w:jc w:val="both"/>
        <w:rPr>
          <w:color w:val="000000"/>
          <w:szCs w:val="24"/>
        </w:rPr>
      </w:pPr>
      <w:r>
        <w:rPr>
          <w:color w:val="000000"/>
          <w:szCs w:val="24"/>
        </w:rPr>
        <w:t>„8.13.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w:t>
      </w:r>
      <w:r>
        <w:rPr>
          <w:b/>
          <w:color w:val="000000"/>
          <w:szCs w:val="24"/>
        </w:rPr>
        <w:t xml:space="preserve"> </w:t>
      </w:r>
      <w:r>
        <w:rPr>
          <w:color w:val="000000"/>
          <w:szCs w:val="24"/>
        </w:rPr>
        <w:t>patvirtinimo“;“.</w:t>
      </w:r>
    </w:p>
    <w:p w14:paraId="0ACC1C55" w14:textId="77777777" w:rsidR="0064643E" w:rsidRDefault="00E75283">
      <w:pPr>
        <w:ind w:firstLine="720"/>
        <w:jc w:val="both"/>
        <w:rPr>
          <w:szCs w:val="24"/>
        </w:rPr>
      </w:pPr>
      <w:r>
        <w:rPr>
          <w:szCs w:val="24"/>
        </w:rPr>
        <w:t>4. Pakeičiu 8.16 papunktį ir jį išdėstau taip:</w:t>
      </w:r>
    </w:p>
    <w:p w14:paraId="0ACC1C56" w14:textId="77777777" w:rsidR="0064643E" w:rsidRDefault="00E75283">
      <w:pPr>
        <w:ind w:firstLine="720"/>
        <w:jc w:val="both"/>
        <w:rPr>
          <w:color w:val="000000"/>
          <w:szCs w:val="24"/>
        </w:rPr>
      </w:pPr>
      <w:r>
        <w:rPr>
          <w:color w:val="000000"/>
          <w:spacing w:val="-8"/>
          <w:szCs w:val="24"/>
        </w:rPr>
        <w:t>„8.16. Lietuvos Respublikos sveikatos apsaugos ministro 2009 m. kovo 13 d. įsakymas Nr. V-190</w:t>
      </w:r>
      <w:r>
        <w:rPr>
          <w:color w:val="000000"/>
          <w:szCs w:val="24"/>
        </w:rPr>
        <w:t xml:space="preserve"> „Dėl Lietuvos higienos normos HN 30:2018 „Infragarsas ir žemadažnis garsas: ribiniai dydžiai gyvenamosiose, specialiosiose ir visuomeninėse patalpose“ patvirtinimo“;“.</w:t>
      </w:r>
    </w:p>
    <w:p w14:paraId="0ACC1C57" w14:textId="77777777" w:rsidR="0064643E" w:rsidRDefault="00E75283">
      <w:pPr>
        <w:ind w:firstLine="720"/>
        <w:jc w:val="both"/>
        <w:rPr>
          <w:szCs w:val="24"/>
        </w:rPr>
      </w:pPr>
      <w:r>
        <w:rPr>
          <w:szCs w:val="24"/>
        </w:rPr>
        <w:t>5. Pakeičiu 8.20 papunktį ir jį išdėstau taip:</w:t>
      </w:r>
    </w:p>
    <w:p w14:paraId="0ACC1C58" w14:textId="77777777" w:rsidR="0064643E" w:rsidRDefault="00E75283">
      <w:pPr>
        <w:ind w:firstLine="720"/>
        <w:jc w:val="both"/>
        <w:rPr>
          <w:color w:val="000000"/>
          <w:szCs w:val="24"/>
        </w:rPr>
      </w:pPr>
      <w:r>
        <w:rPr>
          <w:color w:val="000000"/>
          <w:szCs w:val="24"/>
        </w:rPr>
        <w:t>„8.20. Lietuvos standartas LST EN 1176-1 „Žaidimų aikštelių įranga ir dangos. 1 dalis. Bendrieji saugos reikalavimai ir bandymo metodai“;“.</w:t>
      </w:r>
    </w:p>
    <w:p w14:paraId="0ACC1C59" w14:textId="77777777" w:rsidR="0064643E" w:rsidRDefault="00E75283">
      <w:pPr>
        <w:ind w:firstLine="720"/>
        <w:jc w:val="both"/>
        <w:rPr>
          <w:szCs w:val="24"/>
        </w:rPr>
      </w:pPr>
      <w:r>
        <w:rPr>
          <w:szCs w:val="24"/>
        </w:rPr>
        <w:t>6. Pakeičiu 8.21 papunktį ir jį išdėstau taip:</w:t>
      </w:r>
    </w:p>
    <w:p w14:paraId="0ACC1C5A" w14:textId="77777777" w:rsidR="0064643E" w:rsidRDefault="00E75283">
      <w:pPr>
        <w:ind w:firstLine="720"/>
        <w:jc w:val="both"/>
        <w:rPr>
          <w:color w:val="000000"/>
          <w:szCs w:val="24"/>
        </w:rPr>
      </w:pPr>
      <w:r>
        <w:rPr>
          <w:color w:val="000000"/>
          <w:szCs w:val="24"/>
        </w:rPr>
        <w:t>„8.21. Lietuvos standartas LST EN 1176-2 „Žaidimų aikštelių įranga ir dangos. 2 dalis. Sūpuoklių papildomi specialieji saugos reikalavimai ir bandymo metodai“;“.</w:t>
      </w:r>
    </w:p>
    <w:p w14:paraId="0ACC1C5B" w14:textId="77777777" w:rsidR="0064643E" w:rsidRDefault="00E75283">
      <w:pPr>
        <w:ind w:firstLine="720"/>
        <w:jc w:val="both"/>
        <w:rPr>
          <w:szCs w:val="24"/>
        </w:rPr>
      </w:pPr>
      <w:r>
        <w:rPr>
          <w:szCs w:val="24"/>
        </w:rPr>
        <w:t>7. Pakeičiu 8.22 papunktį ir jį išdėstau taip:</w:t>
      </w:r>
    </w:p>
    <w:p w14:paraId="0ACC1C5C" w14:textId="77777777" w:rsidR="0064643E" w:rsidRDefault="00E75283">
      <w:pPr>
        <w:ind w:firstLine="720"/>
        <w:jc w:val="both"/>
        <w:rPr>
          <w:color w:val="000000"/>
          <w:szCs w:val="24"/>
        </w:rPr>
      </w:pPr>
      <w:r>
        <w:rPr>
          <w:color w:val="000000"/>
          <w:szCs w:val="24"/>
        </w:rPr>
        <w:t>„8.22. Lietuvos standartas LST EN 1176-3:2008 „Žaidimų aikštelių įranga ir dangos. 3 dalis. Čiuožynių papildomi specialieji saugos reikalavimai ir bandymo metodai“;“.</w:t>
      </w:r>
    </w:p>
    <w:p w14:paraId="0ACC1C5D" w14:textId="77777777" w:rsidR="0064643E" w:rsidRDefault="00E75283">
      <w:pPr>
        <w:ind w:firstLine="720"/>
        <w:jc w:val="both"/>
        <w:rPr>
          <w:szCs w:val="24"/>
        </w:rPr>
      </w:pPr>
      <w:r>
        <w:rPr>
          <w:szCs w:val="24"/>
        </w:rPr>
        <w:t>8. Pakeičiu 8.23 papunktį ir jį išdėstau taip:</w:t>
      </w:r>
    </w:p>
    <w:p w14:paraId="0ACC1C5E" w14:textId="77777777" w:rsidR="0064643E" w:rsidRDefault="00E75283">
      <w:pPr>
        <w:ind w:firstLine="720"/>
        <w:jc w:val="both"/>
        <w:rPr>
          <w:color w:val="000000"/>
          <w:szCs w:val="24"/>
        </w:rPr>
      </w:pPr>
      <w:r>
        <w:rPr>
          <w:color w:val="000000"/>
          <w:szCs w:val="24"/>
        </w:rPr>
        <w:t>„8.23. Lietuvos standartas LST EN 1176-4 „Žaidimų aikštelių įranga ir dangos. 4 dalis. Kabamųjų lynų kelių papildomi specialieji saugos reikalavimai ir bandymo metodai“;“.</w:t>
      </w:r>
    </w:p>
    <w:p w14:paraId="0ACC1C5F" w14:textId="77777777" w:rsidR="0064643E" w:rsidRDefault="00E75283">
      <w:pPr>
        <w:ind w:firstLine="720"/>
        <w:jc w:val="both"/>
        <w:rPr>
          <w:szCs w:val="24"/>
        </w:rPr>
      </w:pPr>
      <w:r>
        <w:rPr>
          <w:szCs w:val="24"/>
        </w:rPr>
        <w:t>9. Pakeičiu 8.24 papunktį ir jį išdėstau taip:</w:t>
      </w:r>
    </w:p>
    <w:p w14:paraId="0ACC1C60" w14:textId="77777777" w:rsidR="0064643E" w:rsidRDefault="00E75283">
      <w:pPr>
        <w:ind w:firstLine="720"/>
        <w:jc w:val="both"/>
        <w:rPr>
          <w:color w:val="000000"/>
          <w:szCs w:val="24"/>
        </w:rPr>
      </w:pPr>
      <w:r>
        <w:rPr>
          <w:color w:val="000000"/>
          <w:szCs w:val="24"/>
        </w:rPr>
        <w:lastRenderedPageBreak/>
        <w:t>„8.24. Lietuvos standartas LST EN 1176-5 „Žaidimų aikštelių įranga ir dangos. 5 dalis. Karuselių papildomi specialieji saugos reikalavimai ir bandymo metodai“;“.</w:t>
      </w:r>
    </w:p>
    <w:p w14:paraId="0ACC1C61" w14:textId="77777777" w:rsidR="0064643E" w:rsidRDefault="00E75283">
      <w:pPr>
        <w:ind w:firstLine="720"/>
        <w:jc w:val="both"/>
        <w:rPr>
          <w:szCs w:val="24"/>
        </w:rPr>
      </w:pPr>
      <w:r>
        <w:rPr>
          <w:szCs w:val="24"/>
        </w:rPr>
        <w:t>10. Pakeičiu 8.25 papunktį ir jį išdėstau taip:</w:t>
      </w:r>
    </w:p>
    <w:p w14:paraId="0ACC1C62" w14:textId="77777777" w:rsidR="0064643E" w:rsidRDefault="00E75283">
      <w:pPr>
        <w:ind w:firstLine="720"/>
        <w:jc w:val="both"/>
        <w:rPr>
          <w:color w:val="000000"/>
          <w:szCs w:val="24"/>
        </w:rPr>
      </w:pPr>
      <w:r>
        <w:rPr>
          <w:color w:val="000000"/>
          <w:szCs w:val="24"/>
        </w:rPr>
        <w:t>„8.25. Lietuvos standartas LST EN 1176-6 „Žaidimų aikštelių įranga ir dangos. 6 dalis. Supamosios įrangos papildomi specialieji saugos reikalavimai ir bandymo metodai“;“.</w:t>
      </w:r>
    </w:p>
    <w:p w14:paraId="0ACC1C63" w14:textId="77777777" w:rsidR="0064643E" w:rsidRDefault="00E75283">
      <w:pPr>
        <w:ind w:firstLine="720"/>
        <w:jc w:val="both"/>
        <w:rPr>
          <w:szCs w:val="24"/>
        </w:rPr>
      </w:pPr>
      <w:r>
        <w:rPr>
          <w:szCs w:val="24"/>
        </w:rPr>
        <w:t>11. Pakeičiu 8.26 papunktį ir jį išdėstau taip:</w:t>
      </w:r>
    </w:p>
    <w:p w14:paraId="0ACC1C64" w14:textId="77777777" w:rsidR="0064643E" w:rsidRDefault="00E75283">
      <w:pPr>
        <w:ind w:firstLine="720"/>
        <w:jc w:val="both"/>
        <w:rPr>
          <w:color w:val="000000"/>
          <w:szCs w:val="24"/>
        </w:rPr>
      </w:pPr>
      <w:r>
        <w:rPr>
          <w:color w:val="000000"/>
          <w:szCs w:val="24"/>
        </w:rPr>
        <w:t>„8.26. Lietuvos standartas LST EN 1176-7 „Žaidimų aikštelių įranga ir dangos. 7 dalis. Įrengimo, kontrolės, techninės priežiūros ir naudojimo vadovas“;“.</w:t>
      </w:r>
    </w:p>
    <w:p w14:paraId="0ACC1C65" w14:textId="77777777" w:rsidR="0064643E" w:rsidRDefault="00E75283">
      <w:pPr>
        <w:ind w:firstLine="720"/>
        <w:jc w:val="both"/>
        <w:rPr>
          <w:szCs w:val="24"/>
        </w:rPr>
      </w:pPr>
      <w:r>
        <w:rPr>
          <w:szCs w:val="24"/>
        </w:rPr>
        <w:t>12. Pakeičiu 8.27 papunktį ir jį išdėstau taip:</w:t>
      </w:r>
    </w:p>
    <w:p w14:paraId="0ACC1C66" w14:textId="77777777" w:rsidR="0064643E" w:rsidRDefault="00E75283">
      <w:pPr>
        <w:ind w:firstLine="720"/>
        <w:jc w:val="both"/>
        <w:rPr>
          <w:color w:val="000000"/>
          <w:szCs w:val="24"/>
        </w:rPr>
      </w:pPr>
      <w:r>
        <w:rPr>
          <w:color w:val="000000"/>
          <w:szCs w:val="24"/>
        </w:rPr>
        <w:t>„8.27. Lietuvos standartas LST EN 1176-10 „Žaidimų aikštelių įranga ir dangos. 10 dalis. Visiškai uždaros žaidimų įrangos papildomi specialieji saugos reikalavimai ir bandymo metodai“;“.</w:t>
      </w:r>
    </w:p>
    <w:p w14:paraId="0ACC1C67" w14:textId="77777777" w:rsidR="0064643E" w:rsidRDefault="00E75283">
      <w:pPr>
        <w:ind w:firstLine="720"/>
        <w:jc w:val="both"/>
        <w:rPr>
          <w:szCs w:val="24"/>
        </w:rPr>
      </w:pPr>
      <w:r>
        <w:rPr>
          <w:szCs w:val="24"/>
        </w:rPr>
        <w:t>13. Pakeičiu 8.28 papunktį ir jį išdėstau taip:</w:t>
      </w:r>
    </w:p>
    <w:p w14:paraId="0ACC1C68" w14:textId="77777777" w:rsidR="0064643E" w:rsidRDefault="00E75283">
      <w:pPr>
        <w:ind w:firstLine="720"/>
        <w:jc w:val="both"/>
        <w:rPr>
          <w:color w:val="000000"/>
          <w:szCs w:val="24"/>
        </w:rPr>
      </w:pPr>
      <w:r>
        <w:rPr>
          <w:color w:val="000000"/>
          <w:szCs w:val="24"/>
        </w:rPr>
        <w:t>„8.28. Lietuvos standartas LST EN 1176-11 „Žaidimų aikštelių įranga ir dangos. 11 dalis. Erdvinio tinklyno papildomi specialieji saugos reikalavimai ir bandymo metodai“;“.</w:t>
      </w:r>
    </w:p>
    <w:p w14:paraId="0ACC1C69" w14:textId="77777777" w:rsidR="0064643E" w:rsidRDefault="00E75283">
      <w:pPr>
        <w:ind w:firstLine="720"/>
        <w:jc w:val="both"/>
        <w:rPr>
          <w:szCs w:val="24"/>
        </w:rPr>
      </w:pPr>
      <w:r>
        <w:rPr>
          <w:szCs w:val="24"/>
        </w:rPr>
        <w:t>14. Pakeičiu 8.29 papunktį ir jį išdėstau taip:</w:t>
      </w:r>
    </w:p>
    <w:p w14:paraId="0ACC1C6A" w14:textId="77777777" w:rsidR="0064643E" w:rsidRDefault="00E75283">
      <w:pPr>
        <w:ind w:firstLine="720"/>
        <w:jc w:val="both"/>
        <w:rPr>
          <w:color w:val="000000"/>
          <w:szCs w:val="24"/>
        </w:rPr>
      </w:pPr>
      <w:r>
        <w:rPr>
          <w:color w:val="000000"/>
          <w:szCs w:val="24"/>
        </w:rPr>
        <w:t>„8.29. Lietuvos standartas LST EN 1177 „Smūgį silpninanti žaidimų aikštelės danga. Bandymo metodai smūgio silpninimui nustatyti“;“.</w:t>
      </w:r>
    </w:p>
    <w:p w14:paraId="0ACC1C6B" w14:textId="77777777" w:rsidR="0064643E" w:rsidRDefault="00E75283">
      <w:pPr>
        <w:ind w:firstLine="720"/>
        <w:jc w:val="both"/>
        <w:rPr>
          <w:szCs w:val="24"/>
        </w:rPr>
      </w:pPr>
      <w:r>
        <w:rPr>
          <w:szCs w:val="24"/>
        </w:rPr>
        <w:t>15. Pakeičiu 8.30 papunktį ir jį išdėstau taip:</w:t>
      </w:r>
    </w:p>
    <w:p w14:paraId="0ACC1C6C" w14:textId="77777777" w:rsidR="0064643E" w:rsidRDefault="00E75283">
      <w:pPr>
        <w:ind w:firstLine="720"/>
        <w:jc w:val="both"/>
        <w:rPr>
          <w:color w:val="000000"/>
          <w:szCs w:val="24"/>
        </w:rPr>
      </w:pPr>
      <w:r>
        <w:rPr>
          <w:color w:val="000000"/>
          <w:szCs w:val="24"/>
        </w:rPr>
        <w:t>„8.30. Lietuvos standartas LST EN ISO/IEC 17020 „Atitikties įvertinimas. Reikalavimai, keliami įvairių tipų kontrolės įstaigų veiklai (ISO/IEC 17020)“.“</w:t>
      </w:r>
    </w:p>
    <w:p w14:paraId="0ACC1C6D" w14:textId="77777777" w:rsidR="0064643E" w:rsidRDefault="00E75283">
      <w:pPr>
        <w:ind w:firstLine="720"/>
        <w:jc w:val="both"/>
        <w:rPr>
          <w:color w:val="000000"/>
          <w:szCs w:val="24"/>
        </w:rPr>
      </w:pPr>
      <w:r>
        <w:rPr>
          <w:color w:val="000000"/>
          <w:szCs w:val="24"/>
        </w:rPr>
        <w:t>16. Pakeičiu 9.7 papunktį ir jį išdėstau taip:</w:t>
      </w:r>
    </w:p>
    <w:p w14:paraId="0ACC1C6E" w14:textId="77777777" w:rsidR="0064643E" w:rsidRDefault="00E75283">
      <w:pPr>
        <w:ind w:firstLine="720"/>
        <w:jc w:val="both"/>
        <w:rPr>
          <w:szCs w:val="24"/>
          <w:lang w:eastAsia="lt-LT"/>
        </w:rPr>
      </w:pPr>
      <w:r>
        <w:rPr>
          <w:color w:val="000000"/>
          <w:szCs w:val="24"/>
        </w:rPr>
        <w:t>„9.7. kitos šioje higienos normoje vartojamos sąvokos apibrėžtos Lietuvos Respublikos atitikties įvertinimo įstatyme, Lietuvos Respublikos daugiabučių gyvenamųjų namų ir kitos paskirties pastatų savininkų bendrijų įstatyme, Lietuvos standarte LST EN 1176-1 [8.20].“</w:t>
      </w:r>
    </w:p>
    <w:p w14:paraId="0ACC1C6F" w14:textId="77777777" w:rsidR="0064643E" w:rsidRDefault="00E75283">
      <w:pPr>
        <w:ind w:firstLine="720"/>
        <w:jc w:val="both"/>
        <w:rPr>
          <w:color w:val="000000"/>
          <w:szCs w:val="24"/>
        </w:rPr>
      </w:pPr>
      <w:r>
        <w:rPr>
          <w:color w:val="000000"/>
          <w:szCs w:val="24"/>
        </w:rPr>
        <w:t>17. Pakeičiu 16 punktą ir jį išdėstau taip:</w:t>
      </w:r>
    </w:p>
    <w:p w14:paraId="0ACC1C70" w14:textId="77777777" w:rsidR="0064643E" w:rsidRDefault="00E75283">
      <w:pPr>
        <w:ind w:firstLine="720"/>
        <w:jc w:val="both"/>
        <w:rPr>
          <w:color w:val="000000"/>
          <w:szCs w:val="24"/>
        </w:rPr>
      </w:pPr>
      <w:r>
        <w:rPr>
          <w:szCs w:val="24"/>
        </w:rPr>
        <w:t xml:space="preserve">„16. Žaidimų aikštelės įranga, smūgį </w:t>
      </w:r>
      <w:r>
        <w:rPr>
          <w:color w:val="000000"/>
          <w:szCs w:val="24"/>
        </w:rPr>
        <w:t>silpninanti</w:t>
      </w:r>
      <w:r>
        <w:rPr>
          <w:szCs w:val="24"/>
        </w:rPr>
        <w:t xml:space="preserve"> danga turi turėti atitikties sertifikatą ar gamintojo deklaraciją, liudijančią įrangos ir dangos atitiktį joms taikomų Lietuvos standartų LST EN 1176-1 [8.20], LST EN 1176-2 [8.21], LST EN 1176-3 [8.22], LST EN 1176-4 [8.23], LST EN 1176-5 [8.24], LST EN 1176-6 [8.25], LST EN 1176-10 [8.27], LST EN 1176-11 [8.28], LST EN 1177 [8.29] ar tapačių standartų reikalavimams bei surinkimo, naudojimo ir priežiūros instrukcijas valstybine kalba. Žaidimų aikštelės įranga, smūgį silpninanti danga turi būti sumontuota pagal gamintojo instrukcijas.“</w:t>
      </w:r>
    </w:p>
    <w:p w14:paraId="0ACC1C71" w14:textId="77777777" w:rsidR="0064643E" w:rsidRDefault="00E75283">
      <w:pPr>
        <w:ind w:firstLine="720"/>
        <w:jc w:val="both"/>
        <w:rPr>
          <w:color w:val="000000"/>
          <w:szCs w:val="24"/>
        </w:rPr>
      </w:pPr>
      <w:r>
        <w:rPr>
          <w:color w:val="000000"/>
          <w:szCs w:val="24"/>
        </w:rPr>
        <w:t>18. Pakeičiu 17 punktą ir jį išdėstau taip:</w:t>
      </w:r>
    </w:p>
    <w:p w14:paraId="0ACC1C72" w14:textId="77777777" w:rsidR="0064643E" w:rsidRDefault="00E75283">
      <w:pPr>
        <w:ind w:firstLine="720"/>
        <w:jc w:val="both"/>
        <w:rPr>
          <w:color w:val="000000"/>
          <w:szCs w:val="24"/>
        </w:rPr>
      </w:pPr>
      <w:r>
        <w:rPr>
          <w:szCs w:val="24"/>
        </w:rPr>
        <w:t xml:space="preserve">„17. Prieš pradedant naudoti žaidimų aikštelę </w:t>
      </w:r>
      <w:r>
        <w:rPr>
          <w:color w:val="000000"/>
          <w:szCs w:val="24"/>
        </w:rPr>
        <w:t xml:space="preserve">turi būti </w:t>
      </w:r>
      <w:r>
        <w:rPr>
          <w:szCs w:val="24"/>
        </w:rPr>
        <w:t xml:space="preserve">patikrinta (įvertinta) jos atitiktis </w:t>
      </w:r>
      <w:r>
        <w:rPr>
          <w:color w:val="000000"/>
          <w:szCs w:val="24"/>
        </w:rPr>
        <w:t xml:space="preserve">Lietuvos standartų LST EN 1176-1 [8.20], LST EN 1176-2 [8.21], LST EN 1176-3 [8.22], LST EN 1176-4 [8.23], LST EN 1176-5 [8.24], LST EN 1176-6 [8.25], LST EN 1176-10 [8.27], LST EN 1176-11 [8.28], LST EN 1177 [8.29] reikalavimams. Patikrinimą (įvertinimą) turi atlikti </w:t>
      </w:r>
      <w:r>
        <w:rPr>
          <w:szCs w:val="24"/>
        </w:rPr>
        <w:t xml:space="preserve">įstaiga, akredituota Lietuvos standarto LST EN ISO/IEC 17020 [8.30] atitikčiai kaip A tipo kontrolės įstaiga. </w:t>
      </w:r>
      <w:r>
        <w:rPr>
          <w:color w:val="000000"/>
          <w:szCs w:val="24"/>
        </w:rPr>
        <w:t>Žaidimų aikštelės eksploatuotojas ar savininkas turi saugoti</w:t>
      </w:r>
      <w:r>
        <w:rPr>
          <w:szCs w:val="24"/>
        </w:rPr>
        <w:t xml:space="preserve"> šios įstaigos išduotą kontrolės ataskaitą arba kontrolės sertifikatą.“</w:t>
      </w:r>
    </w:p>
    <w:p w14:paraId="0ACC1C73" w14:textId="77777777" w:rsidR="0064643E" w:rsidRDefault="00E75283">
      <w:pPr>
        <w:ind w:firstLine="720"/>
        <w:jc w:val="both"/>
        <w:rPr>
          <w:color w:val="000000"/>
          <w:szCs w:val="24"/>
        </w:rPr>
      </w:pPr>
      <w:r>
        <w:rPr>
          <w:color w:val="000000"/>
          <w:szCs w:val="24"/>
        </w:rPr>
        <w:t>19. Pakeičiu 22 punktą ir jį išdėstau taip:</w:t>
      </w:r>
    </w:p>
    <w:p w14:paraId="0ACC1C74" w14:textId="77777777" w:rsidR="0064643E" w:rsidRDefault="00E75283">
      <w:pPr>
        <w:ind w:firstLine="720"/>
        <w:jc w:val="both"/>
        <w:rPr>
          <w:color w:val="000000"/>
          <w:szCs w:val="24"/>
        </w:rPr>
      </w:pPr>
      <w:r>
        <w:rPr>
          <w:szCs w:val="24"/>
        </w:rPr>
        <w:t xml:space="preserve">„22. Žaidimų patalpų įranga, smūgį </w:t>
      </w:r>
      <w:r>
        <w:rPr>
          <w:color w:val="000000"/>
          <w:szCs w:val="24"/>
        </w:rPr>
        <w:t>silpninanti</w:t>
      </w:r>
      <w:r>
        <w:rPr>
          <w:szCs w:val="24"/>
        </w:rPr>
        <w:t xml:space="preserve"> danga turi turėti atitikties sertifikatą ar gamintojo deklaraciją, liudijančią įrangos ir dangos atitiktį joms taikomų Lietuvos standartų LST EN 1176-1 [8.20], LST EN 1176-2 [8.21], LST EN 1176-3 [8.22], LST EN 1176-4 [8.23], LST EN 1176-5 [8.24], LST EN 1176-6 [8.25], LST EN 1176-10 [8.27], LST EN 1176-11 [8.28], LST EN 1177 [8.29] ar tapačių standartų reikalavimams bei surinkimo, naudojimo ir priežiūros instrukcijas valstybine kalba. Žaidimų patalpų įranga, smūgį silpninanti danga turi būti sumontuota pagal gamintojo instrukcijas.“</w:t>
      </w:r>
    </w:p>
    <w:p w14:paraId="0ACC1C75" w14:textId="77777777" w:rsidR="0064643E" w:rsidRDefault="00E75283">
      <w:pPr>
        <w:ind w:firstLine="720"/>
        <w:jc w:val="both"/>
        <w:rPr>
          <w:color w:val="000000"/>
          <w:szCs w:val="24"/>
        </w:rPr>
      </w:pPr>
      <w:r>
        <w:rPr>
          <w:color w:val="000000"/>
          <w:szCs w:val="24"/>
        </w:rPr>
        <w:t>20. Pakeičiu 23 punktą ir jį išdėstau taip:</w:t>
      </w:r>
    </w:p>
    <w:p w14:paraId="0ACC1C76" w14:textId="77777777" w:rsidR="0064643E" w:rsidRDefault="00E75283">
      <w:pPr>
        <w:ind w:firstLine="720"/>
        <w:jc w:val="both"/>
        <w:rPr>
          <w:color w:val="000000"/>
          <w:szCs w:val="24"/>
        </w:rPr>
      </w:pPr>
      <w:r>
        <w:rPr>
          <w:szCs w:val="24"/>
        </w:rPr>
        <w:t xml:space="preserve">„23. Prieš pradedant naudoti žaidimų patalpas </w:t>
      </w:r>
      <w:r>
        <w:rPr>
          <w:color w:val="000000"/>
          <w:szCs w:val="24"/>
        </w:rPr>
        <w:t xml:space="preserve">turi būti </w:t>
      </w:r>
      <w:r>
        <w:rPr>
          <w:szCs w:val="24"/>
        </w:rPr>
        <w:t xml:space="preserve">patikrinta (įvertinta) jų atitiktis </w:t>
      </w:r>
      <w:r>
        <w:rPr>
          <w:color w:val="000000"/>
          <w:szCs w:val="24"/>
        </w:rPr>
        <w:t xml:space="preserve">Lietuvos standartų LST EN 1176-1 [8.20], LST EN 1176-2 [8.21], LST EN 1176-3 [8.22], LST EN 1176-4 [8.23], LST EN 1176-5 [8.24], LST EN 1176-6 [8.25], LST EN 1176-10 [8.27], LST EN </w:t>
      </w:r>
      <w:r>
        <w:rPr>
          <w:color w:val="000000"/>
          <w:szCs w:val="24"/>
        </w:rPr>
        <w:lastRenderedPageBreak/>
        <w:t xml:space="preserve">1176-11 [8.28], LST EN 1177 [8.29] reikalavimams. Patikrinimą (įvertinimą) turi atlikti </w:t>
      </w:r>
      <w:r>
        <w:rPr>
          <w:szCs w:val="24"/>
        </w:rPr>
        <w:t xml:space="preserve">įstaiga, akredituota Lietuvos standarto LST EN ISO/IEC 17020 [8.30] atitikčiai kaip A tipo kontrolės įstaiga. </w:t>
      </w:r>
      <w:r>
        <w:rPr>
          <w:color w:val="000000"/>
          <w:szCs w:val="24"/>
        </w:rPr>
        <w:t>Žaidimų patalpų eksploatuotojas ar savininkas turi saugoti</w:t>
      </w:r>
      <w:r>
        <w:rPr>
          <w:szCs w:val="24"/>
        </w:rPr>
        <w:t xml:space="preserve"> šios įstaigos išduotą kontrolės ataskaitą arba kontrolės sertifikatą.“</w:t>
      </w:r>
    </w:p>
    <w:p w14:paraId="0ACC1C77" w14:textId="77777777" w:rsidR="0064643E" w:rsidRDefault="00E75283">
      <w:pPr>
        <w:ind w:firstLine="720"/>
        <w:jc w:val="both"/>
        <w:rPr>
          <w:color w:val="000000"/>
          <w:szCs w:val="24"/>
        </w:rPr>
      </w:pPr>
      <w:r>
        <w:rPr>
          <w:color w:val="000000"/>
          <w:szCs w:val="24"/>
        </w:rPr>
        <w:t>21. Pakeičiu 48.3 papunktį ir jį išdėstau taip:</w:t>
      </w:r>
    </w:p>
    <w:p w14:paraId="0ACC1C7B" w14:textId="50AEC00F" w:rsidR="0064643E" w:rsidRDefault="00E75283">
      <w:pPr>
        <w:ind w:firstLine="720"/>
        <w:jc w:val="both"/>
        <w:rPr>
          <w:color w:val="000000"/>
          <w:szCs w:val="24"/>
        </w:rPr>
      </w:pPr>
      <w:r>
        <w:rPr>
          <w:color w:val="000000"/>
          <w:szCs w:val="24"/>
        </w:rPr>
        <w:t xml:space="preserve">„48.3. užtikrinti, kad ne rečiau kaip 1 kartą per 12 mėnesių būtų atlikta žaidimų aikštelių, patalpų pagrindinė metinė kontrolė, kurios metu įvertinta jų įrangos, dangos atitiktis Lietuvos standartų LST EN 1176-1 [8.20], LST EN 1176-2 [8.21], LST EN 1176-3 [8.22], LST EN 1176-4 [8.23], LST EN 1176-5 [8.24], LST EN 1176-6 [8.25], LST EN 1176-10 [8.27], LST EN 1176-11 [8.28], LST EN 1177 [8.29] reikalavimams, įskaitant meteorologinių veiksnių poveikį, supuvimą ar koroziją, įrangos saugos lygio pasikeitimą dėl atlikto remonto, pridėtų, pakeistų sudedamųjų dalių. </w:t>
      </w:r>
      <w:r>
        <w:rPr>
          <w:szCs w:val="24"/>
        </w:rPr>
        <w:t xml:space="preserve">Žaidimų aikštelių ir patalpų įrangos pagrindinė metinė kontrolė turi būti atlikta įstaigos, akredituotos Lietuvos standarto LST EN ISO/IEC 17020 [8.30] atitikčiai kaip A tipo kontrolės įstaiga, </w:t>
      </w:r>
      <w:r>
        <w:rPr>
          <w:color w:val="000000"/>
          <w:szCs w:val="24"/>
        </w:rPr>
        <w:t xml:space="preserve">laikantis Lietuvos standarto LST EN 1176-7 [8.26] reikalavimų. Žaidimų aikštelės, patalpų eksploatuotojas ar savininkas turi saugoti įstaigos, atlikusios pagrindinę metinę kontrolę, išduotą </w:t>
      </w:r>
      <w:r>
        <w:rPr>
          <w:szCs w:val="24"/>
        </w:rPr>
        <w:t>kontrolės ataskaitą arba kontrolės sertifikatą</w:t>
      </w:r>
      <w:r>
        <w:rPr>
          <w:color w:val="000000"/>
          <w:szCs w:val="24"/>
        </w:rPr>
        <w:t>;“.</w:t>
      </w:r>
    </w:p>
    <w:p w14:paraId="4D217C51" w14:textId="77777777" w:rsidR="00E75283" w:rsidRDefault="00E75283">
      <w:pPr>
        <w:tabs>
          <w:tab w:val="center" w:pos="4320"/>
          <w:tab w:val="right" w:pos="8640"/>
        </w:tabs>
      </w:pPr>
    </w:p>
    <w:p w14:paraId="76BFCE27" w14:textId="77777777" w:rsidR="00E75283" w:rsidRDefault="00E75283">
      <w:pPr>
        <w:tabs>
          <w:tab w:val="center" w:pos="4320"/>
          <w:tab w:val="right" w:pos="8640"/>
        </w:tabs>
        <w:rPr>
          <w:caps/>
          <w:smallCaps/>
          <w:szCs w:val="24"/>
        </w:rPr>
      </w:pPr>
    </w:p>
    <w:p w14:paraId="46EEA178" w14:textId="77777777" w:rsidR="00E75283" w:rsidRDefault="00E75283">
      <w:pPr>
        <w:tabs>
          <w:tab w:val="center" w:pos="4320"/>
          <w:tab w:val="right" w:pos="8640"/>
        </w:tabs>
        <w:rPr>
          <w:caps/>
          <w:smallCaps/>
          <w:szCs w:val="24"/>
        </w:rPr>
      </w:pPr>
    </w:p>
    <w:p w14:paraId="0ACC1C7C" w14:textId="5AC4A3FD" w:rsidR="0064643E" w:rsidRDefault="00E75283">
      <w:pPr>
        <w:tabs>
          <w:tab w:val="center" w:pos="4320"/>
          <w:tab w:val="right" w:pos="8640"/>
        </w:tabs>
        <w:rPr>
          <w:szCs w:val="24"/>
        </w:rPr>
      </w:pPr>
      <w:r>
        <w:rPr>
          <w:caps/>
          <w:smallCaps/>
          <w:szCs w:val="24"/>
        </w:rPr>
        <w:t>S</w:t>
      </w:r>
      <w:r>
        <w:rPr>
          <w:szCs w:val="24"/>
        </w:rPr>
        <w:t>veikatos apsaugos ministras</w:t>
      </w:r>
      <w:r>
        <w:rPr>
          <w:caps/>
          <w:szCs w:val="24"/>
        </w:rPr>
        <w:t xml:space="preserve"> </w:t>
      </w:r>
      <w:r>
        <w:rPr>
          <w:szCs w:val="24"/>
        </w:rPr>
        <w:tab/>
      </w:r>
      <w:r>
        <w:rPr>
          <w:szCs w:val="24"/>
        </w:rPr>
        <w:tab/>
      </w:r>
      <w:r>
        <w:rPr>
          <w:szCs w:val="24"/>
          <w:lang w:val="en-GB"/>
        </w:rPr>
        <w:t>Aurelijus Veryga</w:t>
      </w:r>
    </w:p>
    <w:sectPr w:rsidR="0064643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C7AE" w14:textId="77777777" w:rsidR="00EF5CB4" w:rsidRDefault="00EF5CB4">
      <w:pPr>
        <w:rPr>
          <w:szCs w:val="24"/>
          <w:lang w:val="en-GB"/>
        </w:rPr>
      </w:pPr>
      <w:r>
        <w:rPr>
          <w:szCs w:val="24"/>
          <w:lang w:val="en-GB"/>
        </w:rPr>
        <w:separator/>
      </w:r>
    </w:p>
  </w:endnote>
  <w:endnote w:type="continuationSeparator" w:id="0">
    <w:p w14:paraId="56848B53" w14:textId="77777777" w:rsidR="00EF5CB4" w:rsidRDefault="00EF5CB4">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1C84" w14:textId="77777777" w:rsidR="0064643E" w:rsidRDefault="0064643E">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1C85" w14:textId="77777777" w:rsidR="0064643E" w:rsidRDefault="0064643E">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1C87" w14:textId="77777777" w:rsidR="0064643E" w:rsidRDefault="0064643E">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5D62" w14:textId="77777777" w:rsidR="00EF5CB4" w:rsidRDefault="00EF5CB4">
      <w:pPr>
        <w:rPr>
          <w:szCs w:val="24"/>
          <w:lang w:val="en-GB"/>
        </w:rPr>
      </w:pPr>
      <w:r>
        <w:rPr>
          <w:szCs w:val="24"/>
          <w:lang w:val="en-GB"/>
        </w:rPr>
        <w:separator/>
      </w:r>
    </w:p>
  </w:footnote>
  <w:footnote w:type="continuationSeparator" w:id="0">
    <w:p w14:paraId="793EDB97" w14:textId="77777777" w:rsidR="00EF5CB4" w:rsidRDefault="00EF5CB4">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1C82" w14:textId="77777777" w:rsidR="0064643E" w:rsidRDefault="0064643E">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1C83" w14:textId="35AA4B04" w:rsidR="0064643E" w:rsidRDefault="00E75283">
    <w:pPr>
      <w:tabs>
        <w:tab w:val="center" w:pos="4819"/>
        <w:tab w:val="right" w:pos="9638"/>
      </w:tabs>
      <w:jc w:val="center"/>
      <w:rPr>
        <w:szCs w:val="24"/>
        <w:lang w:val="en-GB"/>
      </w:rPr>
    </w:pPr>
    <w:r>
      <w:rPr>
        <w:szCs w:val="24"/>
        <w:lang w:val="en-GB"/>
      </w:rPr>
      <w:fldChar w:fldCharType="begin"/>
    </w:r>
    <w:r>
      <w:rPr>
        <w:szCs w:val="24"/>
        <w:lang w:val="en-GB"/>
      </w:rPr>
      <w:instrText xml:space="preserve"> PAGE   \* MERGEFORMAT </w:instrText>
    </w:r>
    <w:r>
      <w:rPr>
        <w:szCs w:val="24"/>
        <w:lang w:val="en-GB"/>
      </w:rPr>
      <w:fldChar w:fldCharType="separate"/>
    </w:r>
    <w:r w:rsidR="00197578">
      <w:rPr>
        <w:noProof/>
        <w:szCs w:val="24"/>
        <w:lang w:val="en-GB"/>
      </w:rPr>
      <w:t>2</w:t>
    </w:r>
    <w:r>
      <w:rPr>
        <w:szCs w:val="24"/>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1C86" w14:textId="77777777" w:rsidR="0064643E" w:rsidRDefault="0064643E">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7A"/>
    <w:rsid w:val="00197578"/>
    <w:rsid w:val="00250638"/>
    <w:rsid w:val="004C687A"/>
    <w:rsid w:val="0064643E"/>
    <w:rsid w:val="00E75283"/>
    <w:rsid w:val="00EF5C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C1C43"/>
  <w15:docId w15:val="{76A75438-65AF-4618-B8AD-4C08346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7578"/>
    <w:rPr>
      <w:rFonts w:ascii="Segoe UI" w:hAnsi="Segoe UI" w:cs="Segoe UI"/>
      <w:sz w:val="18"/>
      <w:szCs w:val="18"/>
    </w:rPr>
  </w:style>
  <w:style w:type="character" w:customStyle="1" w:styleId="BalloonTextChar">
    <w:name w:val="Balloon Text Char"/>
    <w:basedOn w:val="DefaultParagraphFont"/>
    <w:link w:val="BalloonText"/>
    <w:rsid w:val="00197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3773">
      <w:bodyDiv w:val="1"/>
      <w:marLeft w:val="0"/>
      <w:marRight w:val="0"/>
      <w:marTop w:val="0"/>
      <w:marBottom w:val="0"/>
      <w:divBdr>
        <w:top w:val="none" w:sz="0" w:space="0" w:color="auto"/>
        <w:left w:val="none" w:sz="0" w:space="0" w:color="auto"/>
        <w:bottom w:val="none" w:sz="0" w:space="0" w:color="auto"/>
        <w:right w:val="none" w:sz="0" w:space="0" w:color="auto"/>
      </w:divBdr>
    </w:div>
    <w:div w:id="161897600">
      <w:bodyDiv w:val="1"/>
      <w:marLeft w:val="0"/>
      <w:marRight w:val="0"/>
      <w:marTop w:val="0"/>
      <w:marBottom w:val="0"/>
      <w:divBdr>
        <w:top w:val="none" w:sz="0" w:space="0" w:color="auto"/>
        <w:left w:val="none" w:sz="0" w:space="0" w:color="auto"/>
        <w:bottom w:val="none" w:sz="0" w:space="0" w:color="auto"/>
        <w:right w:val="none" w:sz="0" w:space="0" w:color="auto"/>
      </w:divBdr>
      <w:divsChild>
        <w:div w:id="2050255574">
          <w:marLeft w:val="0"/>
          <w:marRight w:val="0"/>
          <w:marTop w:val="0"/>
          <w:marBottom w:val="0"/>
          <w:divBdr>
            <w:top w:val="none" w:sz="0" w:space="0" w:color="auto"/>
            <w:left w:val="none" w:sz="0" w:space="0" w:color="auto"/>
            <w:bottom w:val="none" w:sz="0" w:space="0" w:color="auto"/>
            <w:right w:val="none" w:sz="0" w:space="0" w:color="auto"/>
          </w:divBdr>
        </w:div>
        <w:div w:id="699404022">
          <w:marLeft w:val="0"/>
          <w:marRight w:val="0"/>
          <w:marTop w:val="0"/>
          <w:marBottom w:val="0"/>
          <w:divBdr>
            <w:top w:val="none" w:sz="0" w:space="0" w:color="auto"/>
            <w:left w:val="none" w:sz="0" w:space="0" w:color="auto"/>
            <w:bottom w:val="none" w:sz="0" w:space="0" w:color="auto"/>
            <w:right w:val="none" w:sz="0" w:space="0" w:color="auto"/>
          </w:divBdr>
        </w:div>
      </w:divsChild>
    </w:div>
    <w:div w:id="873662638">
      <w:bodyDiv w:val="1"/>
      <w:marLeft w:val="0"/>
      <w:marRight w:val="0"/>
      <w:marTop w:val="0"/>
      <w:marBottom w:val="0"/>
      <w:divBdr>
        <w:top w:val="none" w:sz="0" w:space="0" w:color="auto"/>
        <w:left w:val="none" w:sz="0" w:space="0" w:color="auto"/>
        <w:bottom w:val="none" w:sz="0" w:space="0" w:color="auto"/>
        <w:right w:val="none" w:sz="0" w:space="0" w:color="auto"/>
      </w:divBdr>
    </w:div>
    <w:div w:id="916404043">
      <w:bodyDiv w:val="1"/>
      <w:marLeft w:val="0"/>
      <w:marRight w:val="0"/>
      <w:marTop w:val="0"/>
      <w:marBottom w:val="0"/>
      <w:divBdr>
        <w:top w:val="none" w:sz="0" w:space="0" w:color="auto"/>
        <w:left w:val="none" w:sz="0" w:space="0" w:color="auto"/>
        <w:bottom w:val="none" w:sz="0" w:space="0" w:color="auto"/>
        <w:right w:val="none" w:sz="0" w:space="0" w:color="auto"/>
      </w:divBdr>
    </w:div>
    <w:div w:id="918639140">
      <w:bodyDiv w:val="1"/>
      <w:marLeft w:val="0"/>
      <w:marRight w:val="0"/>
      <w:marTop w:val="0"/>
      <w:marBottom w:val="0"/>
      <w:divBdr>
        <w:top w:val="none" w:sz="0" w:space="0" w:color="auto"/>
        <w:left w:val="none" w:sz="0" w:space="0" w:color="auto"/>
        <w:bottom w:val="none" w:sz="0" w:space="0" w:color="auto"/>
        <w:right w:val="none" w:sz="0" w:space="0" w:color="auto"/>
      </w:divBdr>
    </w:div>
    <w:div w:id="992640608">
      <w:bodyDiv w:val="1"/>
      <w:marLeft w:val="0"/>
      <w:marRight w:val="0"/>
      <w:marTop w:val="0"/>
      <w:marBottom w:val="0"/>
      <w:divBdr>
        <w:top w:val="none" w:sz="0" w:space="0" w:color="auto"/>
        <w:left w:val="none" w:sz="0" w:space="0" w:color="auto"/>
        <w:bottom w:val="none" w:sz="0" w:space="0" w:color="auto"/>
        <w:right w:val="none" w:sz="0" w:space="0" w:color="auto"/>
      </w:divBdr>
    </w:div>
    <w:div w:id="1066952011">
      <w:bodyDiv w:val="1"/>
      <w:marLeft w:val="0"/>
      <w:marRight w:val="0"/>
      <w:marTop w:val="0"/>
      <w:marBottom w:val="0"/>
      <w:divBdr>
        <w:top w:val="none" w:sz="0" w:space="0" w:color="auto"/>
        <w:left w:val="none" w:sz="0" w:space="0" w:color="auto"/>
        <w:bottom w:val="none" w:sz="0" w:space="0" w:color="auto"/>
        <w:right w:val="none" w:sz="0" w:space="0" w:color="auto"/>
      </w:divBdr>
    </w:div>
    <w:div w:id="1129008257">
      <w:bodyDiv w:val="1"/>
      <w:marLeft w:val="0"/>
      <w:marRight w:val="0"/>
      <w:marTop w:val="0"/>
      <w:marBottom w:val="0"/>
      <w:divBdr>
        <w:top w:val="none" w:sz="0" w:space="0" w:color="auto"/>
        <w:left w:val="none" w:sz="0" w:space="0" w:color="auto"/>
        <w:bottom w:val="none" w:sz="0" w:space="0" w:color="auto"/>
        <w:right w:val="none" w:sz="0" w:space="0" w:color="auto"/>
      </w:divBdr>
    </w:div>
    <w:div w:id="1180044096">
      <w:bodyDiv w:val="1"/>
      <w:marLeft w:val="0"/>
      <w:marRight w:val="0"/>
      <w:marTop w:val="0"/>
      <w:marBottom w:val="0"/>
      <w:divBdr>
        <w:top w:val="none" w:sz="0" w:space="0" w:color="auto"/>
        <w:left w:val="none" w:sz="0" w:space="0" w:color="auto"/>
        <w:bottom w:val="none" w:sz="0" w:space="0" w:color="auto"/>
        <w:right w:val="none" w:sz="0" w:space="0" w:color="auto"/>
      </w:divBdr>
    </w:div>
    <w:div w:id="1256747570">
      <w:bodyDiv w:val="1"/>
      <w:marLeft w:val="0"/>
      <w:marRight w:val="0"/>
      <w:marTop w:val="0"/>
      <w:marBottom w:val="0"/>
      <w:divBdr>
        <w:top w:val="none" w:sz="0" w:space="0" w:color="auto"/>
        <w:left w:val="none" w:sz="0" w:space="0" w:color="auto"/>
        <w:bottom w:val="none" w:sz="0" w:space="0" w:color="auto"/>
        <w:right w:val="none" w:sz="0" w:space="0" w:color="auto"/>
      </w:divBdr>
    </w:div>
    <w:div w:id="1279990112">
      <w:bodyDiv w:val="1"/>
      <w:marLeft w:val="0"/>
      <w:marRight w:val="0"/>
      <w:marTop w:val="0"/>
      <w:marBottom w:val="0"/>
      <w:divBdr>
        <w:top w:val="none" w:sz="0" w:space="0" w:color="auto"/>
        <w:left w:val="none" w:sz="0" w:space="0" w:color="auto"/>
        <w:bottom w:val="none" w:sz="0" w:space="0" w:color="auto"/>
        <w:right w:val="none" w:sz="0" w:space="0" w:color="auto"/>
      </w:divBdr>
    </w:div>
    <w:div w:id="1432437306">
      <w:bodyDiv w:val="1"/>
      <w:marLeft w:val="0"/>
      <w:marRight w:val="0"/>
      <w:marTop w:val="0"/>
      <w:marBottom w:val="0"/>
      <w:divBdr>
        <w:top w:val="none" w:sz="0" w:space="0" w:color="auto"/>
        <w:left w:val="none" w:sz="0" w:space="0" w:color="auto"/>
        <w:bottom w:val="none" w:sz="0" w:space="0" w:color="auto"/>
        <w:right w:val="none" w:sz="0" w:space="0" w:color="auto"/>
      </w:divBdr>
    </w:div>
    <w:div w:id="1476213913">
      <w:bodyDiv w:val="1"/>
      <w:marLeft w:val="0"/>
      <w:marRight w:val="0"/>
      <w:marTop w:val="0"/>
      <w:marBottom w:val="0"/>
      <w:divBdr>
        <w:top w:val="none" w:sz="0" w:space="0" w:color="auto"/>
        <w:left w:val="none" w:sz="0" w:space="0" w:color="auto"/>
        <w:bottom w:val="none" w:sz="0" w:space="0" w:color="auto"/>
        <w:right w:val="none" w:sz="0" w:space="0" w:color="auto"/>
      </w:divBdr>
    </w:div>
    <w:div w:id="1478181664">
      <w:bodyDiv w:val="1"/>
      <w:marLeft w:val="0"/>
      <w:marRight w:val="0"/>
      <w:marTop w:val="0"/>
      <w:marBottom w:val="0"/>
      <w:divBdr>
        <w:top w:val="none" w:sz="0" w:space="0" w:color="auto"/>
        <w:left w:val="none" w:sz="0" w:space="0" w:color="auto"/>
        <w:bottom w:val="none" w:sz="0" w:space="0" w:color="auto"/>
        <w:right w:val="none" w:sz="0" w:space="0" w:color="auto"/>
      </w:divBdr>
    </w:div>
    <w:div w:id="1543250788">
      <w:bodyDiv w:val="1"/>
      <w:marLeft w:val="0"/>
      <w:marRight w:val="0"/>
      <w:marTop w:val="0"/>
      <w:marBottom w:val="0"/>
      <w:divBdr>
        <w:top w:val="none" w:sz="0" w:space="0" w:color="auto"/>
        <w:left w:val="none" w:sz="0" w:space="0" w:color="auto"/>
        <w:bottom w:val="none" w:sz="0" w:space="0" w:color="auto"/>
        <w:right w:val="none" w:sz="0" w:space="0" w:color="auto"/>
      </w:divBdr>
    </w:div>
    <w:div w:id="1566062031">
      <w:bodyDiv w:val="1"/>
      <w:marLeft w:val="0"/>
      <w:marRight w:val="0"/>
      <w:marTop w:val="0"/>
      <w:marBottom w:val="0"/>
      <w:divBdr>
        <w:top w:val="none" w:sz="0" w:space="0" w:color="auto"/>
        <w:left w:val="none" w:sz="0" w:space="0" w:color="auto"/>
        <w:bottom w:val="none" w:sz="0" w:space="0" w:color="auto"/>
        <w:right w:val="none" w:sz="0" w:space="0" w:color="auto"/>
      </w:divBdr>
      <w:divsChild>
        <w:div w:id="984239465">
          <w:marLeft w:val="0"/>
          <w:marRight w:val="0"/>
          <w:marTop w:val="0"/>
          <w:marBottom w:val="0"/>
          <w:divBdr>
            <w:top w:val="none" w:sz="0" w:space="0" w:color="auto"/>
            <w:left w:val="none" w:sz="0" w:space="0" w:color="auto"/>
            <w:bottom w:val="none" w:sz="0" w:space="0" w:color="auto"/>
            <w:right w:val="none" w:sz="0" w:space="0" w:color="auto"/>
          </w:divBdr>
        </w:div>
        <w:div w:id="1381397173">
          <w:marLeft w:val="0"/>
          <w:marRight w:val="0"/>
          <w:marTop w:val="0"/>
          <w:marBottom w:val="0"/>
          <w:divBdr>
            <w:top w:val="none" w:sz="0" w:space="0" w:color="auto"/>
            <w:left w:val="none" w:sz="0" w:space="0" w:color="auto"/>
            <w:bottom w:val="none" w:sz="0" w:space="0" w:color="auto"/>
            <w:right w:val="none" w:sz="0" w:space="0" w:color="auto"/>
          </w:divBdr>
        </w:div>
        <w:div w:id="1170366714">
          <w:marLeft w:val="0"/>
          <w:marRight w:val="0"/>
          <w:marTop w:val="0"/>
          <w:marBottom w:val="0"/>
          <w:divBdr>
            <w:top w:val="none" w:sz="0" w:space="0" w:color="auto"/>
            <w:left w:val="none" w:sz="0" w:space="0" w:color="auto"/>
            <w:bottom w:val="none" w:sz="0" w:space="0" w:color="auto"/>
            <w:right w:val="none" w:sz="0" w:space="0" w:color="auto"/>
          </w:divBdr>
        </w:div>
        <w:div w:id="2114207272">
          <w:marLeft w:val="0"/>
          <w:marRight w:val="0"/>
          <w:marTop w:val="0"/>
          <w:marBottom w:val="0"/>
          <w:divBdr>
            <w:top w:val="none" w:sz="0" w:space="0" w:color="auto"/>
            <w:left w:val="none" w:sz="0" w:space="0" w:color="auto"/>
            <w:bottom w:val="none" w:sz="0" w:space="0" w:color="auto"/>
            <w:right w:val="none" w:sz="0" w:space="0" w:color="auto"/>
          </w:divBdr>
        </w:div>
        <w:div w:id="738788617">
          <w:marLeft w:val="0"/>
          <w:marRight w:val="0"/>
          <w:marTop w:val="0"/>
          <w:marBottom w:val="0"/>
          <w:divBdr>
            <w:top w:val="none" w:sz="0" w:space="0" w:color="auto"/>
            <w:left w:val="none" w:sz="0" w:space="0" w:color="auto"/>
            <w:bottom w:val="none" w:sz="0" w:space="0" w:color="auto"/>
            <w:right w:val="none" w:sz="0" w:space="0" w:color="auto"/>
          </w:divBdr>
        </w:div>
        <w:div w:id="974917804">
          <w:marLeft w:val="0"/>
          <w:marRight w:val="0"/>
          <w:marTop w:val="0"/>
          <w:marBottom w:val="0"/>
          <w:divBdr>
            <w:top w:val="none" w:sz="0" w:space="0" w:color="auto"/>
            <w:left w:val="none" w:sz="0" w:space="0" w:color="auto"/>
            <w:bottom w:val="none" w:sz="0" w:space="0" w:color="auto"/>
            <w:right w:val="none" w:sz="0" w:space="0" w:color="auto"/>
          </w:divBdr>
        </w:div>
        <w:div w:id="344982361">
          <w:marLeft w:val="0"/>
          <w:marRight w:val="0"/>
          <w:marTop w:val="0"/>
          <w:marBottom w:val="0"/>
          <w:divBdr>
            <w:top w:val="none" w:sz="0" w:space="0" w:color="auto"/>
            <w:left w:val="none" w:sz="0" w:space="0" w:color="auto"/>
            <w:bottom w:val="none" w:sz="0" w:space="0" w:color="auto"/>
            <w:right w:val="none" w:sz="0" w:space="0" w:color="auto"/>
          </w:divBdr>
        </w:div>
        <w:div w:id="2031293750">
          <w:marLeft w:val="0"/>
          <w:marRight w:val="0"/>
          <w:marTop w:val="0"/>
          <w:marBottom w:val="0"/>
          <w:divBdr>
            <w:top w:val="none" w:sz="0" w:space="0" w:color="auto"/>
            <w:left w:val="none" w:sz="0" w:space="0" w:color="auto"/>
            <w:bottom w:val="none" w:sz="0" w:space="0" w:color="auto"/>
            <w:right w:val="none" w:sz="0" w:space="0" w:color="auto"/>
          </w:divBdr>
        </w:div>
        <w:div w:id="1112362669">
          <w:marLeft w:val="0"/>
          <w:marRight w:val="0"/>
          <w:marTop w:val="0"/>
          <w:marBottom w:val="0"/>
          <w:divBdr>
            <w:top w:val="none" w:sz="0" w:space="0" w:color="auto"/>
            <w:left w:val="none" w:sz="0" w:space="0" w:color="auto"/>
            <w:bottom w:val="none" w:sz="0" w:space="0" w:color="auto"/>
            <w:right w:val="none" w:sz="0" w:space="0" w:color="auto"/>
          </w:divBdr>
        </w:div>
        <w:div w:id="1410687471">
          <w:marLeft w:val="0"/>
          <w:marRight w:val="0"/>
          <w:marTop w:val="0"/>
          <w:marBottom w:val="0"/>
          <w:divBdr>
            <w:top w:val="none" w:sz="0" w:space="0" w:color="auto"/>
            <w:left w:val="none" w:sz="0" w:space="0" w:color="auto"/>
            <w:bottom w:val="none" w:sz="0" w:space="0" w:color="auto"/>
            <w:right w:val="none" w:sz="0" w:space="0" w:color="auto"/>
          </w:divBdr>
        </w:div>
        <w:div w:id="668364059">
          <w:marLeft w:val="0"/>
          <w:marRight w:val="0"/>
          <w:marTop w:val="0"/>
          <w:marBottom w:val="0"/>
          <w:divBdr>
            <w:top w:val="none" w:sz="0" w:space="0" w:color="auto"/>
            <w:left w:val="none" w:sz="0" w:space="0" w:color="auto"/>
            <w:bottom w:val="none" w:sz="0" w:space="0" w:color="auto"/>
            <w:right w:val="none" w:sz="0" w:space="0" w:color="auto"/>
          </w:divBdr>
        </w:div>
      </w:divsChild>
    </w:div>
    <w:div w:id="1573391800">
      <w:bodyDiv w:val="1"/>
      <w:marLeft w:val="0"/>
      <w:marRight w:val="0"/>
      <w:marTop w:val="0"/>
      <w:marBottom w:val="0"/>
      <w:divBdr>
        <w:top w:val="none" w:sz="0" w:space="0" w:color="auto"/>
        <w:left w:val="none" w:sz="0" w:space="0" w:color="auto"/>
        <w:bottom w:val="none" w:sz="0" w:space="0" w:color="auto"/>
        <w:right w:val="none" w:sz="0" w:space="0" w:color="auto"/>
      </w:divBdr>
    </w:div>
    <w:div w:id="1777872793">
      <w:bodyDiv w:val="1"/>
      <w:marLeft w:val="0"/>
      <w:marRight w:val="0"/>
      <w:marTop w:val="0"/>
      <w:marBottom w:val="0"/>
      <w:divBdr>
        <w:top w:val="none" w:sz="0" w:space="0" w:color="auto"/>
        <w:left w:val="none" w:sz="0" w:space="0" w:color="auto"/>
        <w:bottom w:val="none" w:sz="0" w:space="0" w:color="auto"/>
        <w:right w:val="none" w:sz="0" w:space="0" w:color="auto"/>
      </w:divBdr>
    </w:div>
    <w:div w:id="1950428583">
      <w:bodyDiv w:val="1"/>
      <w:marLeft w:val="0"/>
      <w:marRight w:val="0"/>
      <w:marTop w:val="0"/>
      <w:marBottom w:val="0"/>
      <w:divBdr>
        <w:top w:val="none" w:sz="0" w:space="0" w:color="auto"/>
        <w:left w:val="none" w:sz="0" w:space="0" w:color="auto"/>
        <w:bottom w:val="none" w:sz="0" w:space="0" w:color="auto"/>
        <w:right w:val="none" w:sz="0" w:space="0" w:color="auto"/>
      </w:divBdr>
    </w:div>
    <w:div w:id="2033529064">
      <w:bodyDiv w:val="1"/>
      <w:marLeft w:val="0"/>
      <w:marRight w:val="0"/>
      <w:marTop w:val="0"/>
      <w:marBottom w:val="0"/>
      <w:divBdr>
        <w:top w:val="none" w:sz="0" w:space="0" w:color="auto"/>
        <w:left w:val="none" w:sz="0" w:space="0" w:color="auto"/>
        <w:bottom w:val="none" w:sz="0" w:space="0" w:color="auto"/>
        <w:right w:val="none" w:sz="0" w:space="0" w:color="auto"/>
      </w:divBdr>
      <w:divsChild>
        <w:div w:id="612132966">
          <w:marLeft w:val="0"/>
          <w:marRight w:val="0"/>
          <w:marTop w:val="0"/>
          <w:marBottom w:val="0"/>
          <w:divBdr>
            <w:top w:val="none" w:sz="0" w:space="0" w:color="auto"/>
            <w:left w:val="none" w:sz="0" w:space="0" w:color="auto"/>
            <w:bottom w:val="none" w:sz="0" w:space="0" w:color="auto"/>
            <w:right w:val="none" w:sz="0" w:space="0" w:color="auto"/>
          </w:divBdr>
          <w:divsChild>
            <w:div w:id="406075894">
              <w:marLeft w:val="0"/>
              <w:marRight w:val="0"/>
              <w:marTop w:val="0"/>
              <w:marBottom w:val="0"/>
              <w:divBdr>
                <w:top w:val="none" w:sz="0" w:space="0" w:color="auto"/>
                <w:left w:val="none" w:sz="0" w:space="0" w:color="auto"/>
                <w:bottom w:val="none" w:sz="0" w:space="0" w:color="auto"/>
                <w:right w:val="none" w:sz="0" w:space="0" w:color="auto"/>
              </w:divBdr>
            </w:div>
            <w:div w:id="466438036">
              <w:marLeft w:val="0"/>
              <w:marRight w:val="0"/>
              <w:marTop w:val="0"/>
              <w:marBottom w:val="0"/>
              <w:divBdr>
                <w:top w:val="none" w:sz="0" w:space="0" w:color="auto"/>
                <w:left w:val="none" w:sz="0" w:space="0" w:color="auto"/>
                <w:bottom w:val="none" w:sz="0" w:space="0" w:color="auto"/>
                <w:right w:val="none" w:sz="0" w:space="0" w:color="auto"/>
              </w:divBdr>
            </w:div>
          </w:divsChild>
        </w:div>
        <w:div w:id="1182472594">
          <w:marLeft w:val="0"/>
          <w:marRight w:val="0"/>
          <w:marTop w:val="0"/>
          <w:marBottom w:val="0"/>
          <w:divBdr>
            <w:top w:val="none" w:sz="0" w:space="0" w:color="auto"/>
            <w:left w:val="none" w:sz="0" w:space="0" w:color="auto"/>
            <w:bottom w:val="none" w:sz="0" w:space="0" w:color="auto"/>
            <w:right w:val="none" w:sz="0" w:space="0" w:color="auto"/>
          </w:divBdr>
          <w:divsChild>
            <w:div w:id="8413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223">
      <w:bodyDiv w:val="1"/>
      <w:marLeft w:val="0"/>
      <w:marRight w:val="0"/>
      <w:marTop w:val="0"/>
      <w:marBottom w:val="0"/>
      <w:divBdr>
        <w:top w:val="none" w:sz="0" w:space="0" w:color="auto"/>
        <w:left w:val="none" w:sz="0" w:space="0" w:color="auto"/>
        <w:bottom w:val="none" w:sz="0" w:space="0" w:color="auto"/>
        <w:right w:val="none" w:sz="0" w:space="0" w:color="auto"/>
      </w:divBdr>
      <w:divsChild>
        <w:div w:id="1655064673">
          <w:marLeft w:val="0"/>
          <w:marRight w:val="0"/>
          <w:marTop w:val="0"/>
          <w:marBottom w:val="0"/>
          <w:divBdr>
            <w:top w:val="none" w:sz="0" w:space="0" w:color="auto"/>
            <w:left w:val="none" w:sz="0" w:space="0" w:color="auto"/>
            <w:bottom w:val="none" w:sz="0" w:space="0" w:color="auto"/>
            <w:right w:val="none" w:sz="0" w:space="0" w:color="auto"/>
          </w:divBdr>
        </w:div>
        <w:div w:id="1149640117">
          <w:marLeft w:val="0"/>
          <w:marRight w:val="0"/>
          <w:marTop w:val="0"/>
          <w:marBottom w:val="0"/>
          <w:divBdr>
            <w:top w:val="none" w:sz="0" w:space="0" w:color="auto"/>
            <w:left w:val="none" w:sz="0" w:space="0" w:color="auto"/>
            <w:bottom w:val="none" w:sz="0" w:space="0" w:color="auto"/>
            <w:right w:val="none" w:sz="0" w:space="0" w:color="auto"/>
          </w:divBdr>
        </w:div>
        <w:div w:id="756708065">
          <w:marLeft w:val="0"/>
          <w:marRight w:val="0"/>
          <w:marTop w:val="0"/>
          <w:marBottom w:val="0"/>
          <w:divBdr>
            <w:top w:val="none" w:sz="0" w:space="0" w:color="auto"/>
            <w:left w:val="none" w:sz="0" w:space="0" w:color="auto"/>
            <w:bottom w:val="none" w:sz="0" w:space="0" w:color="auto"/>
            <w:right w:val="none" w:sz="0" w:space="0" w:color="auto"/>
          </w:divBdr>
        </w:div>
        <w:div w:id="1554317503">
          <w:marLeft w:val="0"/>
          <w:marRight w:val="0"/>
          <w:marTop w:val="0"/>
          <w:marBottom w:val="0"/>
          <w:divBdr>
            <w:top w:val="none" w:sz="0" w:space="0" w:color="auto"/>
            <w:left w:val="none" w:sz="0" w:space="0" w:color="auto"/>
            <w:bottom w:val="none" w:sz="0" w:space="0" w:color="auto"/>
            <w:right w:val="none" w:sz="0" w:space="0" w:color="auto"/>
          </w:divBdr>
        </w:div>
        <w:div w:id="902065963">
          <w:marLeft w:val="0"/>
          <w:marRight w:val="0"/>
          <w:marTop w:val="0"/>
          <w:marBottom w:val="0"/>
          <w:divBdr>
            <w:top w:val="none" w:sz="0" w:space="0" w:color="auto"/>
            <w:left w:val="none" w:sz="0" w:space="0" w:color="auto"/>
            <w:bottom w:val="none" w:sz="0" w:space="0" w:color="auto"/>
            <w:right w:val="none" w:sz="0" w:space="0" w:color="auto"/>
          </w:divBdr>
        </w:div>
      </w:divsChild>
    </w:div>
    <w:div w:id="2056732575">
      <w:bodyDiv w:val="1"/>
      <w:marLeft w:val="0"/>
      <w:marRight w:val="0"/>
      <w:marTop w:val="0"/>
      <w:marBottom w:val="0"/>
      <w:divBdr>
        <w:top w:val="none" w:sz="0" w:space="0" w:color="auto"/>
        <w:left w:val="none" w:sz="0" w:space="0" w:color="auto"/>
        <w:bottom w:val="none" w:sz="0" w:space="0" w:color="auto"/>
        <w:right w:val="none" w:sz="0" w:space="0" w:color="auto"/>
      </w:divBdr>
      <w:divsChild>
        <w:div w:id="845899120">
          <w:marLeft w:val="965"/>
          <w:marRight w:val="0"/>
          <w:marTop w:val="115"/>
          <w:marBottom w:val="0"/>
          <w:divBdr>
            <w:top w:val="none" w:sz="0" w:space="0" w:color="auto"/>
            <w:left w:val="none" w:sz="0" w:space="0" w:color="auto"/>
            <w:bottom w:val="none" w:sz="0" w:space="0" w:color="auto"/>
            <w:right w:val="none" w:sz="0" w:space="0" w:color="auto"/>
          </w:divBdr>
        </w:div>
        <w:div w:id="1287396827">
          <w:marLeft w:val="965"/>
          <w:marRight w:val="0"/>
          <w:marTop w:val="115"/>
          <w:marBottom w:val="0"/>
          <w:divBdr>
            <w:top w:val="none" w:sz="0" w:space="0" w:color="auto"/>
            <w:left w:val="none" w:sz="0" w:space="0" w:color="auto"/>
            <w:bottom w:val="none" w:sz="0" w:space="0" w:color="auto"/>
            <w:right w:val="none" w:sz="0" w:space="0" w:color="auto"/>
          </w:divBdr>
        </w:div>
        <w:div w:id="592906296">
          <w:marLeft w:val="965"/>
          <w:marRight w:val="0"/>
          <w:marTop w:val="115"/>
          <w:marBottom w:val="0"/>
          <w:divBdr>
            <w:top w:val="none" w:sz="0" w:space="0" w:color="auto"/>
            <w:left w:val="none" w:sz="0" w:space="0" w:color="auto"/>
            <w:bottom w:val="none" w:sz="0" w:space="0" w:color="auto"/>
            <w:right w:val="none" w:sz="0" w:space="0" w:color="auto"/>
          </w:divBdr>
        </w:div>
        <w:div w:id="635061848">
          <w:marLeft w:val="965"/>
          <w:marRight w:val="0"/>
          <w:marTop w:val="115"/>
          <w:marBottom w:val="0"/>
          <w:divBdr>
            <w:top w:val="none" w:sz="0" w:space="0" w:color="auto"/>
            <w:left w:val="none" w:sz="0" w:space="0" w:color="auto"/>
            <w:bottom w:val="none" w:sz="0" w:space="0" w:color="auto"/>
            <w:right w:val="none" w:sz="0" w:space="0" w:color="auto"/>
          </w:divBdr>
        </w:div>
        <w:div w:id="2110854339">
          <w:marLeft w:val="965"/>
          <w:marRight w:val="0"/>
          <w:marTop w:val="115"/>
          <w:marBottom w:val="0"/>
          <w:divBdr>
            <w:top w:val="none" w:sz="0" w:space="0" w:color="auto"/>
            <w:left w:val="none" w:sz="0" w:space="0" w:color="auto"/>
            <w:bottom w:val="none" w:sz="0" w:space="0" w:color="auto"/>
            <w:right w:val="none" w:sz="0" w:space="0" w:color="auto"/>
          </w:divBdr>
        </w:div>
        <w:div w:id="976109963">
          <w:marLeft w:val="965"/>
          <w:marRight w:val="0"/>
          <w:marTop w:val="115"/>
          <w:marBottom w:val="0"/>
          <w:divBdr>
            <w:top w:val="none" w:sz="0" w:space="0" w:color="auto"/>
            <w:left w:val="none" w:sz="0" w:space="0" w:color="auto"/>
            <w:bottom w:val="none" w:sz="0" w:space="0" w:color="auto"/>
            <w:right w:val="none" w:sz="0" w:space="0" w:color="auto"/>
          </w:divBdr>
        </w:div>
      </w:divsChild>
    </w:div>
    <w:div w:id="2118063072">
      <w:bodyDiv w:val="1"/>
      <w:marLeft w:val="0"/>
      <w:marRight w:val="0"/>
      <w:marTop w:val="0"/>
      <w:marBottom w:val="0"/>
      <w:divBdr>
        <w:top w:val="none" w:sz="0" w:space="0" w:color="auto"/>
        <w:left w:val="none" w:sz="0" w:space="0" w:color="auto"/>
        <w:bottom w:val="none" w:sz="0" w:space="0" w:color="auto"/>
        <w:right w:val="none" w:sz="0" w:space="0" w:color="auto"/>
      </w:divBdr>
    </w:div>
    <w:div w:id="2135706919">
      <w:bodyDiv w:val="1"/>
      <w:marLeft w:val="0"/>
      <w:marRight w:val="0"/>
      <w:marTop w:val="0"/>
      <w:marBottom w:val="0"/>
      <w:divBdr>
        <w:top w:val="none" w:sz="0" w:space="0" w:color="auto"/>
        <w:left w:val="none" w:sz="0" w:space="0" w:color="auto"/>
        <w:bottom w:val="none" w:sz="0" w:space="0" w:color="auto"/>
        <w:right w:val="none" w:sz="0" w:space="0" w:color="auto"/>
      </w:divBdr>
      <w:divsChild>
        <w:div w:id="1612128763">
          <w:marLeft w:val="0"/>
          <w:marRight w:val="0"/>
          <w:marTop w:val="0"/>
          <w:marBottom w:val="0"/>
          <w:divBdr>
            <w:top w:val="none" w:sz="0" w:space="0" w:color="auto"/>
            <w:left w:val="none" w:sz="0" w:space="0" w:color="auto"/>
            <w:bottom w:val="none" w:sz="0" w:space="0" w:color="auto"/>
            <w:right w:val="none" w:sz="0" w:space="0" w:color="auto"/>
          </w:divBdr>
        </w:div>
        <w:div w:id="686366909">
          <w:marLeft w:val="0"/>
          <w:marRight w:val="0"/>
          <w:marTop w:val="0"/>
          <w:marBottom w:val="0"/>
          <w:divBdr>
            <w:top w:val="none" w:sz="0" w:space="0" w:color="auto"/>
            <w:left w:val="none" w:sz="0" w:space="0" w:color="auto"/>
            <w:bottom w:val="none" w:sz="0" w:space="0" w:color="auto"/>
            <w:right w:val="none" w:sz="0" w:space="0" w:color="auto"/>
          </w:divBdr>
        </w:div>
        <w:div w:id="1988975264">
          <w:marLeft w:val="0"/>
          <w:marRight w:val="0"/>
          <w:marTop w:val="0"/>
          <w:marBottom w:val="0"/>
          <w:divBdr>
            <w:top w:val="none" w:sz="0" w:space="0" w:color="auto"/>
            <w:left w:val="none" w:sz="0" w:space="0" w:color="auto"/>
            <w:bottom w:val="none" w:sz="0" w:space="0" w:color="auto"/>
            <w:right w:val="none" w:sz="0" w:space="0" w:color="auto"/>
          </w:divBdr>
        </w:div>
        <w:div w:id="1206219284">
          <w:marLeft w:val="0"/>
          <w:marRight w:val="0"/>
          <w:marTop w:val="0"/>
          <w:marBottom w:val="0"/>
          <w:divBdr>
            <w:top w:val="none" w:sz="0" w:space="0" w:color="auto"/>
            <w:left w:val="none" w:sz="0" w:space="0" w:color="auto"/>
            <w:bottom w:val="none" w:sz="0" w:space="0" w:color="auto"/>
            <w:right w:val="none" w:sz="0" w:space="0" w:color="auto"/>
          </w:divBdr>
        </w:div>
        <w:div w:id="640355205">
          <w:marLeft w:val="0"/>
          <w:marRight w:val="0"/>
          <w:marTop w:val="0"/>
          <w:marBottom w:val="0"/>
          <w:divBdr>
            <w:top w:val="none" w:sz="0" w:space="0" w:color="auto"/>
            <w:left w:val="none" w:sz="0" w:space="0" w:color="auto"/>
            <w:bottom w:val="none" w:sz="0" w:space="0" w:color="auto"/>
            <w:right w:val="none" w:sz="0" w:space="0" w:color="auto"/>
          </w:divBdr>
        </w:div>
        <w:div w:id="1766609223">
          <w:marLeft w:val="0"/>
          <w:marRight w:val="0"/>
          <w:marTop w:val="0"/>
          <w:marBottom w:val="0"/>
          <w:divBdr>
            <w:top w:val="none" w:sz="0" w:space="0" w:color="auto"/>
            <w:left w:val="none" w:sz="0" w:space="0" w:color="auto"/>
            <w:bottom w:val="none" w:sz="0" w:space="0" w:color="auto"/>
            <w:right w:val="none" w:sz="0" w:space="0" w:color="auto"/>
          </w:divBdr>
        </w:div>
        <w:div w:id="1058747140">
          <w:marLeft w:val="0"/>
          <w:marRight w:val="0"/>
          <w:marTop w:val="0"/>
          <w:marBottom w:val="0"/>
          <w:divBdr>
            <w:top w:val="none" w:sz="0" w:space="0" w:color="auto"/>
            <w:left w:val="none" w:sz="0" w:space="0" w:color="auto"/>
            <w:bottom w:val="none" w:sz="0" w:space="0" w:color="auto"/>
            <w:right w:val="none" w:sz="0" w:space="0" w:color="auto"/>
          </w:divBdr>
        </w:div>
        <w:div w:id="100042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7176</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8418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daskai</dc:creator>
  <cp:lastModifiedBy>Rytis Rimgaila</cp:lastModifiedBy>
  <cp:revision>2</cp:revision>
  <cp:lastPrinted>2019-01-14T07:46:00Z</cp:lastPrinted>
  <dcterms:created xsi:type="dcterms:W3CDTF">2019-01-14T07:55:00Z</dcterms:created>
  <dcterms:modified xsi:type="dcterms:W3CDTF">2019-01-14T07:55:00Z</dcterms:modified>
</cp:coreProperties>
</file>